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1414" w14:textId="0692395E" w:rsidR="00420C73" w:rsidRDefault="00420C73" w:rsidP="00420C73">
      <w:pPr>
        <w:pStyle w:val="Heading1"/>
        <w:jc w:val="center"/>
        <w:rPr>
          <w:rFonts w:ascii="Gordita" w:hAnsi="Gordita"/>
          <w:b/>
          <w:bCs/>
          <w:color w:val="auto"/>
          <w:sz w:val="28"/>
          <w:szCs w:val="28"/>
        </w:rPr>
      </w:pPr>
      <w:r w:rsidRPr="00420C73">
        <w:rPr>
          <w:rFonts w:ascii="Gordita" w:hAnsi="Gordita"/>
          <w:b/>
          <w:bCs/>
          <w:color w:val="auto"/>
          <w:sz w:val="28"/>
          <w:szCs w:val="28"/>
        </w:rPr>
        <w:t>Recognized Representative Declaration</w:t>
      </w:r>
    </w:p>
    <w:p w14:paraId="5FB14DA1" w14:textId="77777777" w:rsidR="00420C73" w:rsidRPr="00420C73" w:rsidRDefault="00420C73" w:rsidP="00420C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420C73" w:rsidRPr="00420C73" w14:paraId="51F32FAC" w14:textId="77777777" w:rsidTr="00420C73">
        <w:tc>
          <w:tcPr>
            <w:tcW w:w="4225" w:type="dxa"/>
          </w:tcPr>
          <w:p w14:paraId="67D4D876" w14:textId="7798358E" w:rsidR="00420C73" w:rsidRPr="00420C73" w:rsidRDefault="00420C73" w:rsidP="00420C73">
            <w:pPr>
              <w:rPr>
                <w:rFonts w:ascii="Gordita" w:hAnsi="Gordita" w:cs="Arial"/>
                <w:b/>
                <w:sz w:val="20"/>
                <w:szCs w:val="20"/>
                <w:lang w:bidi="en-ZA"/>
              </w:rPr>
            </w:pPr>
            <w:r w:rsidRPr="00420C73">
              <w:rPr>
                <w:rFonts w:ascii="Gordita" w:hAnsi="Gordita" w:cs="Arial"/>
                <w:b/>
                <w:sz w:val="20"/>
                <w:szCs w:val="20"/>
                <w:lang w:bidi="en-ZA"/>
              </w:rPr>
              <w:t>Representative Name:</w:t>
            </w:r>
          </w:p>
        </w:tc>
        <w:tc>
          <w:tcPr>
            <w:tcW w:w="5125" w:type="dxa"/>
          </w:tcPr>
          <w:p w14:paraId="6B811443" w14:textId="77777777" w:rsidR="00420C73" w:rsidRPr="00420C73" w:rsidRDefault="00420C73" w:rsidP="00420C73">
            <w:pPr>
              <w:rPr>
                <w:rFonts w:ascii="Gordita" w:hAnsi="Gordita" w:cs="Arial"/>
                <w:b/>
                <w:sz w:val="20"/>
                <w:szCs w:val="20"/>
                <w:lang w:bidi="en-ZA"/>
              </w:rPr>
            </w:pPr>
          </w:p>
        </w:tc>
      </w:tr>
      <w:tr w:rsidR="00420C73" w:rsidRPr="00420C73" w14:paraId="6550B2D0" w14:textId="77777777" w:rsidTr="00420C73">
        <w:tc>
          <w:tcPr>
            <w:tcW w:w="4225" w:type="dxa"/>
          </w:tcPr>
          <w:p w14:paraId="7978B186" w14:textId="4B543983" w:rsidR="00420C73" w:rsidRPr="00420C73" w:rsidRDefault="00420C73" w:rsidP="00420C73">
            <w:pPr>
              <w:rPr>
                <w:rFonts w:ascii="Gordita" w:hAnsi="Gordita" w:cs="Arial"/>
                <w:b/>
                <w:sz w:val="20"/>
                <w:szCs w:val="20"/>
                <w:lang w:bidi="en-ZA"/>
              </w:rPr>
            </w:pPr>
            <w:r w:rsidRPr="00420C73">
              <w:rPr>
                <w:rFonts w:ascii="Gordita" w:hAnsi="Gordita" w:cs="Arial"/>
                <w:b/>
                <w:sz w:val="20"/>
                <w:szCs w:val="20"/>
                <w:lang w:bidi="en-ZA"/>
              </w:rPr>
              <w:t>Sponsor Advisor Name (if applicable):</w:t>
            </w:r>
          </w:p>
        </w:tc>
        <w:tc>
          <w:tcPr>
            <w:tcW w:w="5125" w:type="dxa"/>
          </w:tcPr>
          <w:p w14:paraId="263F4BEE" w14:textId="77777777" w:rsidR="00420C73" w:rsidRPr="00420C73" w:rsidRDefault="00420C73" w:rsidP="00420C73">
            <w:pPr>
              <w:rPr>
                <w:rFonts w:ascii="Gordita" w:hAnsi="Gordita" w:cs="Arial"/>
                <w:b/>
                <w:sz w:val="20"/>
                <w:szCs w:val="20"/>
                <w:lang w:bidi="en-ZA"/>
              </w:rPr>
            </w:pPr>
          </w:p>
        </w:tc>
      </w:tr>
      <w:tr w:rsidR="00420C73" w:rsidRPr="00420C73" w14:paraId="2837477F" w14:textId="77777777" w:rsidTr="00420C73">
        <w:tc>
          <w:tcPr>
            <w:tcW w:w="4225" w:type="dxa"/>
          </w:tcPr>
          <w:p w14:paraId="63E8CF18" w14:textId="54EE0C21" w:rsidR="00420C73" w:rsidRPr="00420C73" w:rsidRDefault="00420C73" w:rsidP="00420C73">
            <w:pPr>
              <w:rPr>
                <w:rFonts w:ascii="Gordita" w:hAnsi="Gordita" w:cs="Arial"/>
                <w:b/>
                <w:sz w:val="20"/>
                <w:szCs w:val="20"/>
                <w:lang w:bidi="en-ZA"/>
              </w:rPr>
            </w:pPr>
            <w:r w:rsidRPr="00420C73">
              <w:rPr>
                <w:rFonts w:ascii="Gordita" w:hAnsi="Gordita" w:cs="Arial"/>
                <w:b/>
                <w:sz w:val="20"/>
                <w:szCs w:val="20"/>
                <w:lang w:bidi="en-ZA"/>
              </w:rPr>
              <w:t>Issuer Name:</w:t>
            </w:r>
          </w:p>
        </w:tc>
        <w:tc>
          <w:tcPr>
            <w:tcW w:w="5125" w:type="dxa"/>
          </w:tcPr>
          <w:p w14:paraId="755DBD62" w14:textId="77777777" w:rsidR="00420C73" w:rsidRPr="00420C73" w:rsidRDefault="00420C73" w:rsidP="00420C73">
            <w:pPr>
              <w:rPr>
                <w:rFonts w:ascii="Gordita" w:hAnsi="Gordita" w:cs="Arial"/>
                <w:b/>
                <w:sz w:val="20"/>
                <w:szCs w:val="20"/>
                <w:lang w:bidi="en-ZA"/>
              </w:rPr>
            </w:pPr>
          </w:p>
        </w:tc>
      </w:tr>
    </w:tbl>
    <w:p w14:paraId="4B2FB166" w14:textId="77777777" w:rsidR="00420C73" w:rsidRPr="00420C73" w:rsidRDefault="00420C73" w:rsidP="00420C73">
      <w:pPr>
        <w:rPr>
          <w:rFonts w:ascii="Gordita" w:hAnsi="Gordita" w:cs="Arial"/>
          <w:sz w:val="20"/>
          <w:szCs w:val="20"/>
          <w:lang w:bidi="en-ZA"/>
        </w:rPr>
      </w:pPr>
    </w:p>
    <w:p w14:paraId="7FB579EE" w14:textId="0151FCCE" w:rsidR="00420C73" w:rsidRPr="00420C73" w:rsidRDefault="00420C73" w:rsidP="00420C73">
      <w:pPr>
        <w:rPr>
          <w:rFonts w:ascii="Gordita" w:hAnsi="Gordita" w:cs="Arial"/>
          <w:b/>
          <w:sz w:val="20"/>
          <w:szCs w:val="20"/>
          <w:lang w:bidi="en-ZA"/>
        </w:rPr>
      </w:pPr>
      <w:r w:rsidRPr="00420C73">
        <w:rPr>
          <w:rFonts w:ascii="Gordita" w:hAnsi="Gordita" w:cs="Arial"/>
          <w:b/>
          <w:sz w:val="20"/>
          <w:szCs w:val="20"/>
          <w:lang w:bidi="en-ZA"/>
        </w:rPr>
        <w:t>Declaration:</w:t>
      </w:r>
    </w:p>
    <w:p w14:paraId="3C9BE606" w14:textId="02ED384E" w:rsidR="00420C73" w:rsidRPr="00420C73" w:rsidRDefault="00420C73" w:rsidP="00420C73">
      <w:pPr>
        <w:rPr>
          <w:rFonts w:ascii="Gordita" w:hAnsi="Gordita" w:cs="Arial"/>
          <w:sz w:val="20"/>
          <w:szCs w:val="20"/>
          <w:lang w:bidi="en-ZA"/>
        </w:rPr>
      </w:pPr>
      <w:r w:rsidRPr="00420C73">
        <w:rPr>
          <w:rFonts w:ascii="Gordita" w:hAnsi="Gordita" w:cs="Arial"/>
          <w:sz w:val="20"/>
          <w:szCs w:val="20"/>
          <w:lang w:bidi="en-ZA"/>
        </w:rPr>
        <w:t>I</w:t>
      </w:r>
      <w:r w:rsidRPr="00420C73">
        <w:rPr>
          <w:rFonts w:ascii="Gordita" w:hAnsi="Gordita" w:cs="Arial"/>
          <w:sz w:val="20"/>
          <w:szCs w:val="20"/>
          <w:lang w:bidi="en-ZA"/>
        </w:rPr>
        <w:t xml:space="preserve"> hereby declare that:</w:t>
      </w:r>
    </w:p>
    <w:p w14:paraId="42CD66F9" w14:textId="28B07ED3" w:rsidR="00420C73" w:rsidRPr="00420C73" w:rsidRDefault="00420C73" w:rsidP="00420C73">
      <w:pPr>
        <w:numPr>
          <w:ilvl w:val="0"/>
          <w:numId w:val="1"/>
        </w:numPr>
        <w:jc w:val="both"/>
        <w:rPr>
          <w:rFonts w:ascii="Gordita" w:hAnsi="Gordita" w:cs="Arial"/>
          <w:sz w:val="20"/>
          <w:szCs w:val="20"/>
          <w:lang w:bidi="en-ZA"/>
        </w:rPr>
      </w:pPr>
      <w:r w:rsidRPr="00420C73">
        <w:rPr>
          <w:rFonts w:ascii="Gordita" w:hAnsi="Gordita" w:cs="Arial"/>
          <w:sz w:val="20"/>
          <w:szCs w:val="20"/>
          <w:lang w:bidi="en-ZA"/>
        </w:rPr>
        <w:t xml:space="preserve">to the best of </w:t>
      </w:r>
      <w:r w:rsidRPr="00420C73">
        <w:rPr>
          <w:rFonts w:ascii="Gordita" w:hAnsi="Gordita" w:cs="Arial"/>
          <w:sz w:val="20"/>
          <w:szCs w:val="20"/>
          <w:lang w:bidi="en-ZA"/>
        </w:rPr>
        <w:t>my</w:t>
      </w:r>
      <w:r w:rsidRPr="00420C73">
        <w:rPr>
          <w:rFonts w:ascii="Gordita" w:hAnsi="Gordita" w:cs="Arial"/>
          <w:sz w:val="20"/>
          <w:szCs w:val="20"/>
          <w:lang w:bidi="en-ZA"/>
        </w:rPr>
        <w:t xml:space="preserve"> knowledge and belief, having </w:t>
      </w:r>
      <w:proofErr w:type="gramStart"/>
      <w:r w:rsidRPr="00420C73">
        <w:rPr>
          <w:rFonts w:ascii="Gordita" w:hAnsi="Gordita" w:cs="Arial"/>
          <w:sz w:val="20"/>
          <w:szCs w:val="20"/>
          <w:lang w:bidi="en-ZA"/>
        </w:rPr>
        <w:t>made due</w:t>
      </w:r>
      <w:proofErr w:type="gramEnd"/>
      <w:r w:rsidRPr="00420C73">
        <w:rPr>
          <w:rFonts w:ascii="Gordita" w:hAnsi="Gordita" w:cs="Arial"/>
          <w:sz w:val="20"/>
          <w:szCs w:val="20"/>
          <w:lang w:bidi="en-ZA"/>
        </w:rPr>
        <w:t xml:space="preserve"> and careful enquiry and considered all relevant matters under the MERJ Exchange Listing Rules and obligations of the </w:t>
      </w:r>
      <w:r w:rsidRPr="00420C73">
        <w:rPr>
          <w:rFonts w:ascii="Gordita" w:hAnsi="Gordita" w:cs="Arial"/>
          <w:sz w:val="20"/>
          <w:szCs w:val="20"/>
          <w:highlight w:val="yellow"/>
          <w:lang w:bidi="en-ZA"/>
        </w:rPr>
        <w:t>[Delete One: Recognized Representative/  Sponsor Advisor]</w:t>
      </w:r>
      <w:r w:rsidRPr="00420C73">
        <w:rPr>
          <w:rFonts w:ascii="Gordita" w:hAnsi="Gordita" w:cs="Arial"/>
          <w:sz w:val="20"/>
          <w:szCs w:val="20"/>
          <w:lang w:bidi="en-ZA"/>
        </w:rPr>
        <w:t xml:space="preserve"> </w:t>
      </w:r>
      <w:r w:rsidRPr="00420C73">
        <w:rPr>
          <w:rFonts w:ascii="Gordita" w:hAnsi="Gordita" w:cs="Arial"/>
          <w:sz w:val="20"/>
          <w:szCs w:val="20"/>
          <w:lang w:bidi="en-ZA"/>
        </w:rPr>
        <w:t>in relation to the application for admission, all applicable requirements of MERJ Exchange's Listing Rules have been complied with;</w:t>
      </w:r>
    </w:p>
    <w:p w14:paraId="5CF4275C" w14:textId="3B4DE1DF" w:rsidR="00420C73" w:rsidRPr="00420C73" w:rsidRDefault="00420C73" w:rsidP="00420C73">
      <w:pPr>
        <w:numPr>
          <w:ilvl w:val="0"/>
          <w:numId w:val="1"/>
        </w:numPr>
        <w:jc w:val="both"/>
        <w:rPr>
          <w:rFonts w:ascii="Gordita" w:hAnsi="Gordita" w:cs="Arial"/>
          <w:sz w:val="20"/>
          <w:szCs w:val="20"/>
          <w:lang w:bidi="en-ZA"/>
        </w:rPr>
      </w:pPr>
      <w:r w:rsidRPr="00420C73">
        <w:rPr>
          <w:rFonts w:ascii="Gordita" w:hAnsi="Gordita" w:cs="Arial"/>
          <w:sz w:val="20"/>
          <w:szCs w:val="20"/>
          <w:lang w:bidi="en-ZA"/>
        </w:rPr>
        <w:t>I am</w:t>
      </w:r>
      <w:r w:rsidRPr="00420C73">
        <w:rPr>
          <w:rFonts w:ascii="Gordita" w:hAnsi="Gordita" w:cs="Arial"/>
          <w:sz w:val="20"/>
          <w:szCs w:val="20"/>
          <w:lang w:bidi="en-ZA"/>
        </w:rPr>
        <w:t xml:space="preserve"> satisfied that the issuer and its securities are appropriate to be admitted to MERJ Exchange, having </w:t>
      </w:r>
      <w:proofErr w:type="gramStart"/>
      <w:r w:rsidRPr="00420C73">
        <w:rPr>
          <w:rFonts w:ascii="Gordita" w:hAnsi="Gordita" w:cs="Arial"/>
          <w:sz w:val="20"/>
          <w:szCs w:val="20"/>
          <w:lang w:bidi="en-ZA"/>
        </w:rPr>
        <w:t>made due</w:t>
      </w:r>
      <w:proofErr w:type="gramEnd"/>
      <w:r w:rsidRPr="00420C73">
        <w:rPr>
          <w:rFonts w:ascii="Gordita" w:hAnsi="Gordita" w:cs="Arial"/>
          <w:sz w:val="20"/>
          <w:szCs w:val="20"/>
          <w:lang w:bidi="en-ZA"/>
        </w:rPr>
        <w:t xml:space="preserve"> and careful </w:t>
      </w:r>
      <w:proofErr w:type="gramStart"/>
      <w:r w:rsidRPr="00420C73">
        <w:rPr>
          <w:rFonts w:ascii="Gordita" w:hAnsi="Gordita" w:cs="Arial"/>
          <w:sz w:val="20"/>
          <w:szCs w:val="20"/>
          <w:lang w:bidi="en-ZA"/>
        </w:rPr>
        <w:t>enquiry</w:t>
      </w:r>
      <w:proofErr w:type="gramEnd"/>
      <w:r w:rsidRPr="00420C73">
        <w:rPr>
          <w:rFonts w:ascii="Gordita" w:hAnsi="Gordita" w:cs="Arial"/>
          <w:sz w:val="20"/>
          <w:szCs w:val="20"/>
          <w:lang w:bidi="en-ZA"/>
        </w:rPr>
        <w:t xml:space="preserve"> and considered all relevant matters set out in MERJ Exchange's Listing Rules;</w:t>
      </w:r>
    </w:p>
    <w:p w14:paraId="1D96EA83" w14:textId="54933B76" w:rsidR="00420C73" w:rsidRPr="00420C73" w:rsidRDefault="00420C73" w:rsidP="00420C73">
      <w:pPr>
        <w:numPr>
          <w:ilvl w:val="0"/>
          <w:numId w:val="1"/>
        </w:numPr>
        <w:jc w:val="both"/>
        <w:rPr>
          <w:rFonts w:ascii="Gordita" w:hAnsi="Gordita" w:cs="Arial"/>
          <w:sz w:val="20"/>
          <w:szCs w:val="20"/>
          <w:lang w:bidi="en-ZA"/>
        </w:rPr>
      </w:pPr>
      <w:r w:rsidRPr="00420C73">
        <w:rPr>
          <w:rFonts w:ascii="Gordita" w:hAnsi="Gordita" w:cs="Arial"/>
          <w:sz w:val="20"/>
          <w:szCs w:val="20"/>
          <w:lang w:bidi="en-ZA"/>
        </w:rPr>
        <w:t xml:space="preserve">the directors of the issuer have received advice and guidance (from the </w:t>
      </w:r>
      <w:r w:rsidRPr="00420C73">
        <w:rPr>
          <w:rFonts w:ascii="Gordita" w:hAnsi="Gordita" w:cs="Arial"/>
          <w:sz w:val="20"/>
          <w:szCs w:val="20"/>
          <w:lang w:bidi="en-ZA"/>
        </w:rPr>
        <w:t>Recognized Representative</w:t>
      </w:r>
      <w:r w:rsidRPr="00420C73">
        <w:rPr>
          <w:rFonts w:ascii="Gordita" w:hAnsi="Gordita" w:cs="Arial"/>
          <w:sz w:val="20"/>
          <w:szCs w:val="20"/>
          <w:lang w:bidi="en-ZA"/>
        </w:rPr>
        <w:t xml:space="preserve"> and other appropriate professional advisers) as to the issuer’s responsibilities and obligations under MERJ Exchange's Listing Rules </w:t>
      </w:r>
      <w:proofErr w:type="gramStart"/>
      <w:r w:rsidRPr="00420C73">
        <w:rPr>
          <w:rFonts w:ascii="Gordita" w:hAnsi="Gordita" w:cs="Arial"/>
          <w:sz w:val="20"/>
          <w:szCs w:val="20"/>
          <w:lang w:bidi="en-ZA"/>
        </w:rPr>
        <w:t>in order to</w:t>
      </w:r>
      <w:proofErr w:type="gramEnd"/>
      <w:r w:rsidRPr="00420C73">
        <w:rPr>
          <w:rFonts w:ascii="Gordita" w:hAnsi="Gordita" w:cs="Arial"/>
          <w:sz w:val="20"/>
          <w:szCs w:val="20"/>
          <w:lang w:bidi="en-ZA"/>
        </w:rPr>
        <w:t xml:space="preserve"> facilitate due compliance by the issuer on an ongoing basis;</w:t>
      </w:r>
    </w:p>
    <w:p w14:paraId="41AF6142" w14:textId="2646C47B" w:rsidR="00420C73" w:rsidRPr="00420C73" w:rsidRDefault="00420C73" w:rsidP="00420C73">
      <w:pPr>
        <w:numPr>
          <w:ilvl w:val="0"/>
          <w:numId w:val="1"/>
        </w:numPr>
        <w:jc w:val="both"/>
        <w:rPr>
          <w:rFonts w:ascii="Gordita" w:hAnsi="Gordita" w:cs="Arial"/>
          <w:sz w:val="20"/>
          <w:szCs w:val="20"/>
          <w:lang w:bidi="en-ZA"/>
        </w:rPr>
      </w:pPr>
      <w:r w:rsidRPr="00420C73">
        <w:rPr>
          <w:rFonts w:ascii="Gordita" w:hAnsi="Gordita" w:cs="Arial"/>
          <w:sz w:val="20"/>
          <w:szCs w:val="20"/>
          <w:lang w:bidi="en-ZA"/>
        </w:rPr>
        <w:t>I</w:t>
      </w:r>
      <w:r w:rsidRPr="00420C73">
        <w:rPr>
          <w:rFonts w:ascii="Gordita" w:hAnsi="Gordita" w:cs="Arial"/>
          <w:sz w:val="20"/>
          <w:szCs w:val="20"/>
          <w:lang w:bidi="en-ZA"/>
        </w:rPr>
        <w:t xml:space="preserve"> will comply with MERJ Exchange's Listing Rules and comply with our ongoing obligations as </w:t>
      </w:r>
      <w:r w:rsidRPr="00420C73">
        <w:rPr>
          <w:rFonts w:ascii="Gordita" w:hAnsi="Gordita" w:cs="Arial"/>
          <w:sz w:val="20"/>
          <w:szCs w:val="20"/>
          <w:highlight w:val="yellow"/>
          <w:lang w:bidi="en-ZA"/>
        </w:rPr>
        <w:t>[Delete One: Recognized Representative/  Sponsor Advisor]</w:t>
      </w:r>
      <w:r w:rsidRPr="00420C73">
        <w:rPr>
          <w:rFonts w:ascii="Gordita" w:hAnsi="Gordita" w:cs="Arial"/>
          <w:sz w:val="20"/>
          <w:szCs w:val="20"/>
          <w:lang w:bidi="en-ZA"/>
        </w:rPr>
        <w:t xml:space="preserve"> to the issuer.</w:t>
      </w:r>
    </w:p>
    <w:p w14:paraId="5494B325" w14:textId="3BF48963" w:rsidR="00420C73" w:rsidRPr="00420C73" w:rsidRDefault="00420C73" w:rsidP="00420C73">
      <w:pPr>
        <w:ind w:left="299"/>
        <w:jc w:val="both"/>
        <w:rPr>
          <w:rFonts w:ascii="Gordita" w:hAnsi="Gordita" w:cs="Arial"/>
          <w:sz w:val="20"/>
          <w:szCs w:val="20"/>
          <w:lang w:bidi="en-ZA"/>
        </w:rPr>
      </w:pPr>
      <w:r w:rsidRPr="00420C73">
        <w:rPr>
          <w:rFonts w:ascii="Gordita" w:hAnsi="Gordita" w:cs="Arial"/>
          <w:sz w:val="20"/>
          <w:szCs w:val="20"/>
          <w:lang w:bidi="en-ZA"/>
        </w:rPr>
        <w:t xml:space="preserve">Dated this </w:t>
      </w:r>
      <w:r w:rsidRPr="00420C73">
        <w:rPr>
          <w:rFonts w:ascii="Gordita" w:hAnsi="Gordita" w:cs="Arial"/>
          <w:sz w:val="20"/>
          <w:szCs w:val="20"/>
          <w:highlight w:val="yellow"/>
          <w:lang w:bidi="en-ZA"/>
        </w:rPr>
        <w:t>[insert date]</w:t>
      </w:r>
    </w:p>
    <w:p w14:paraId="60145A24" w14:textId="77777777" w:rsidR="00420C73" w:rsidRPr="00420C73" w:rsidRDefault="00420C73" w:rsidP="00420C73">
      <w:pPr>
        <w:jc w:val="both"/>
        <w:rPr>
          <w:rFonts w:ascii="Gordita" w:hAnsi="Gordita" w:cs="Arial"/>
          <w:sz w:val="20"/>
          <w:szCs w:val="20"/>
          <w:lang w:bidi="en-ZA"/>
        </w:rPr>
      </w:pPr>
    </w:p>
    <w:p w14:paraId="2D1B980C" w14:textId="16A4DB0E" w:rsidR="00420C73" w:rsidRPr="00420C73" w:rsidRDefault="00420C73" w:rsidP="00420C73">
      <w:pPr>
        <w:jc w:val="both"/>
        <w:rPr>
          <w:rFonts w:ascii="Gordita" w:hAnsi="Gordita" w:cs="Arial"/>
          <w:sz w:val="20"/>
          <w:szCs w:val="20"/>
          <w:lang w:bidi="en-ZA"/>
        </w:rPr>
      </w:pPr>
      <w:r w:rsidRPr="00420C73">
        <w:rPr>
          <w:rFonts w:ascii="Gordita" w:hAnsi="Gordita" w:cs="Arial"/>
          <w:sz w:val="20"/>
          <w:szCs w:val="20"/>
          <w:lang w:bidi="en-ZA"/>
        </w:rPr>
        <w:pict w14:anchorId="4D7461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D4900634-053C-4A50-B3FE-BA2322F09B89}" provid="{00000000-0000-0000-0000-000000000000}" issignatureline="t"/>
          </v:shape>
        </w:pict>
      </w:r>
    </w:p>
    <w:p w14:paraId="512DA036" w14:textId="5E681068" w:rsidR="00420C73" w:rsidRPr="00420C73" w:rsidRDefault="00420C73" w:rsidP="00420C73">
      <w:pPr>
        <w:jc w:val="both"/>
        <w:rPr>
          <w:rFonts w:ascii="Gordita" w:hAnsi="Gordita" w:cs="Arial"/>
          <w:sz w:val="20"/>
          <w:szCs w:val="20"/>
          <w:lang w:bidi="en-ZA"/>
        </w:rPr>
      </w:pPr>
    </w:p>
    <w:p w14:paraId="1F641494" w14:textId="77777777" w:rsidR="006D7E0C" w:rsidRPr="00420C73" w:rsidRDefault="006D7E0C">
      <w:pPr>
        <w:rPr>
          <w:rFonts w:ascii="Gordita" w:hAnsi="Gordita"/>
          <w:sz w:val="20"/>
          <w:szCs w:val="20"/>
        </w:rPr>
      </w:pPr>
    </w:p>
    <w:sectPr w:rsidR="006D7E0C" w:rsidRPr="00420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rdita">
    <w:panose1 w:val="00000000000000000000"/>
    <w:charset w:val="00"/>
    <w:family w:val="modern"/>
    <w:notTrueType/>
    <w:pitch w:val="variable"/>
    <w:sig w:usb0="A10002EF" w:usb1="5000E0FA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B0625"/>
    <w:multiLevelType w:val="hybridMultilevel"/>
    <w:tmpl w:val="F7C0286A"/>
    <w:lvl w:ilvl="0" w:tplc="AFD4D736">
      <w:start w:val="1"/>
      <w:numFmt w:val="decimal"/>
      <w:lvlText w:val="%1."/>
      <w:lvlJc w:val="left"/>
      <w:pPr>
        <w:ind w:left="866" w:hanging="567"/>
      </w:pPr>
      <w:rPr>
        <w:rFonts w:ascii="Arial" w:eastAsia="Arial" w:hAnsi="Arial" w:cs="Arial" w:hint="default"/>
        <w:w w:val="91"/>
        <w:sz w:val="22"/>
        <w:szCs w:val="22"/>
        <w:lang w:val="en-ZA" w:eastAsia="en-ZA" w:bidi="en-ZA"/>
      </w:rPr>
    </w:lvl>
    <w:lvl w:ilvl="1" w:tplc="B3DEEC00">
      <w:numFmt w:val="bullet"/>
      <w:lvlText w:val="•"/>
      <w:lvlJc w:val="left"/>
      <w:pPr>
        <w:ind w:left="1020" w:hanging="567"/>
      </w:pPr>
      <w:rPr>
        <w:rFonts w:hint="default"/>
        <w:lang w:val="en-ZA" w:eastAsia="en-ZA" w:bidi="en-ZA"/>
      </w:rPr>
    </w:lvl>
    <w:lvl w:ilvl="2" w:tplc="81DC7204">
      <w:numFmt w:val="bullet"/>
      <w:lvlText w:val="•"/>
      <w:lvlJc w:val="left"/>
      <w:pPr>
        <w:ind w:left="2054" w:hanging="567"/>
      </w:pPr>
      <w:rPr>
        <w:rFonts w:hint="default"/>
        <w:lang w:val="en-ZA" w:eastAsia="en-ZA" w:bidi="en-ZA"/>
      </w:rPr>
    </w:lvl>
    <w:lvl w:ilvl="3" w:tplc="A38CD5D4">
      <w:numFmt w:val="bullet"/>
      <w:lvlText w:val="•"/>
      <w:lvlJc w:val="left"/>
      <w:pPr>
        <w:ind w:left="3088" w:hanging="567"/>
      </w:pPr>
      <w:rPr>
        <w:rFonts w:hint="default"/>
        <w:lang w:val="en-ZA" w:eastAsia="en-ZA" w:bidi="en-ZA"/>
      </w:rPr>
    </w:lvl>
    <w:lvl w:ilvl="4" w:tplc="B73C2CC8">
      <w:numFmt w:val="bullet"/>
      <w:lvlText w:val="•"/>
      <w:lvlJc w:val="left"/>
      <w:pPr>
        <w:ind w:left="4122" w:hanging="567"/>
      </w:pPr>
      <w:rPr>
        <w:rFonts w:hint="default"/>
        <w:lang w:val="en-ZA" w:eastAsia="en-ZA" w:bidi="en-ZA"/>
      </w:rPr>
    </w:lvl>
    <w:lvl w:ilvl="5" w:tplc="6DB4F9EA">
      <w:numFmt w:val="bullet"/>
      <w:lvlText w:val="•"/>
      <w:lvlJc w:val="left"/>
      <w:pPr>
        <w:ind w:left="5156" w:hanging="567"/>
      </w:pPr>
      <w:rPr>
        <w:rFonts w:hint="default"/>
        <w:lang w:val="en-ZA" w:eastAsia="en-ZA" w:bidi="en-ZA"/>
      </w:rPr>
    </w:lvl>
    <w:lvl w:ilvl="6" w:tplc="34B8D38C">
      <w:numFmt w:val="bullet"/>
      <w:lvlText w:val="•"/>
      <w:lvlJc w:val="left"/>
      <w:pPr>
        <w:ind w:left="6190" w:hanging="567"/>
      </w:pPr>
      <w:rPr>
        <w:rFonts w:hint="default"/>
        <w:lang w:val="en-ZA" w:eastAsia="en-ZA" w:bidi="en-ZA"/>
      </w:rPr>
    </w:lvl>
    <w:lvl w:ilvl="7" w:tplc="5AAA8A7E">
      <w:numFmt w:val="bullet"/>
      <w:lvlText w:val="•"/>
      <w:lvlJc w:val="left"/>
      <w:pPr>
        <w:ind w:left="7224" w:hanging="567"/>
      </w:pPr>
      <w:rPr>
        <w:rFonts w:hint="default"/>
        <w:lang w:val="en-ZA" w:eastAsia="en-ZA" w:bidi="en-ZA"/>
      </w:rPr>
    </w:lvl>
    <w:lvl w:ilvl="8" w:tplc="A6F8FB72">
      <w:numFmt w:val="bullet"/>
      <w:lvlText w:val="•"/>
      <w:lvlJc w:val="left"/>
      <w:pPr>
        <w:ind w:left="8258" w:hanging="567"/>
      </w:pPr>
      <w:rPr>
        <w:rFonts w:hint="default"/>
        <w:lang w:val="en-ZA" w:eastAsia="en-ZA" w:bidi="en-ZA"/>
      </w:rPr>
    </w:lvl>
  </w:abstractNum>
  <w:abstractNum w:abstractNumId="1" w15:restartNumberingAfterBreak="0">
    <w:nsid w:val="74EE0E95"/>
    <w:multiLevelType w:val="hybridMultilevel"/>
    <w:tmpl w:val="189449B8"/>
    <w:lvl w:ilvl="0" w:tplc="89027174">
      <w:start w:val="1"/>
      <w:numFmt w:val="decimal"/>
      <w:lvlText w:val="%1."/>
      <w:lvlJc w:val="left"/>
      <w:pPr>
        <w:ind w:left="943" w:hanging="360"/>
      </w:pPr>
      <w:rPr>
        <w:rFonts w:ascii="Trebuchet MS" w:eastAsia="Trebuchet MS" w:hAnsi="Trebuchet MS" w:cs="Trebuchet MS" w:hint="default"/>
        <w:b/>
        <w:bCs/>
        <w:w w:val="81"/>
        <w:sz w:val="22"/>
        <w:szCs w:val="22"/>
        <w:lang w:val="en-ZA" w:eastAsia="en-ZA" w:bidi="en-ZA"/>
      </w:rPr>
    </w:lvl>
    <w:lvl w:ilvl="1" w:tplc="10C848D6">
      <w:numFmt w:val="bullet"/>
      <w:lvlText w:val="•"/>
      <w:lvlJc w:val="left"/>
      <w:pPr>
        <w:ind w:left="1878" w:hanging="360"/>
      </w:pPr>
      <w:rPr>
        <w:rFonts w:hint="default"/>
        <w:lang w:val="en-ZA" w:eastAsia="en-ZA" w:bidi="en-ZA"/>
      </w:rPr>
    </w:lvl>
    <w:lvl w:ilvl="2" w:tplc="9F7856CE">
      <w:numFmt w:val="bullet"/>
      <w:lvlText w:val="•"/>
      <w:lvlJc w:val="left"/>
      <w:pPr>
        <w:ind w:left="2817" w:hanging="360"/>
      </w:pPr>
      <w:rPr>
        <w:rFonts w:hint="default"/>
        <w:lang w:val="en-ZA" w:eastAsia="en-ZA" w:bidi="en-ZA"/>
      </w:rPr>
    </w:lvl>
    <w:lvl w:ilvl="3" w:tplc="78666B3A">
      <w:numFmt w:val="bullet"/>
      <w:lvlText w:val="•"/>
      <w:lvlJc w:val="left"/>
      <w:pPr>
        <w:ind w:left="3755" w:hanging="360"/>
      </w:pPr>
      <w:rPr>
        <w:rFonts w:hint="default"/>
        <w:lang w:val="en-ZA" w:eastAsia="en-ZA" w:bidi="en-ZA"/>
      </w:rPr>
    </w:lvl>
    <w:lvl w:ilvl="4" w:tplc="1892F18E">
      <w:numFmt w:val="bullet"/>
      <w:lvlText w:val="•"/>
      <w:lvlJc w:val="left"/>
      <w:pPr>
        <w:ind w:left="4694" w:hanging="360"/>
      </w:pPr>
      <w:rPr>
        <w:rFonts w:hint="default"/>
        <w:lang w:val="en-ZA" w:eastAsia="en-ZA" w:bidi="en-ZA"/>
      </w:rPr>
    </w:lvl>
    <w:lvl w:ilvl="5" w:tplc="58A2AC92">
      <w:numFmt w:val="bullet"/>
      <w:lvlText w:val="•"/>
      <w:lvlJc w:val="left"/>
      <w:pPr>
        <w:ind w:left="5633" w:hanging="360"/>
      </w:pPr>
      <w:rPr>
        <w:rFonts w:hint="default"/>
        <w:lang w:val="en-ZA" w:eastAsia="en-ZA" w:bidi="en-ZA"/>
      </w:rPr>
    </w:lvl>
    <w:lvl w:ilvl="6" w:tplc="E8083E5A">
      <w:numFmt w:val="bullet"/>
      <w:lvlText w:val="•"/>
      <w:lvlJc w:val="left"/>
      <w:pPr>
        <w:ind w:left="6571" w:hanging="360"/>
      </w:pPr>
      <w:rPr>
        <w:rFonts w:hint="default"/>
        <w:lang w:val="en-ZA" w:eastAsia="en-ZA" w:bidi="en-ZA"/>
      </w:rPr>
    </w:lvl>
    <w:lvl w:ilvl="7" w:tplc="7D50CB4E">
      <w:numFmt w:val="bullet"/>
      <w:lvlText w:val="•"/>
      <w:lvlJc w:val="left"/>
      <w:pPr>
        <w:ind w:left="7510" w:hanging="360"/>
      </w:pPr>
      <w:rPr>
        <w:rFonts w:hint="default"/>
        <w:lang w:val="en-ZA" w:eastAsia="en-ZA" w:bidi="en-ZA"/>
      </w:rPr>
    </w:lvl>
    <w:lvl w:ilvl="8" w:tplc="0AF805E2">
      <w:numFmt w:val="bullet"/>
      <w:lvlText w:val="•"/>
      <w:lvlJc w:val="left"/>
      <w:pPr>
        <w:ind w:left="8449" w:hanging="360"/>
      </w:pPr>
      <w:rPr>
        <w:rFonts w:hint="default"/>
        <w:lang w:val="en-ZA" w:eastAsia="en-ZA" w:bidi="en-ZA"/>
      </w:rPr>
    </w:lvl>
  </w:abstractNum>
  <w:num w:numId="1" w16cid:durableId="79959352">
    <w:abstractNumId w:val="0"/>
  </w:num>
  <w:num w:numId="2" w16cid:durableId="201877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73"/>
    <w:rsid w:val="00023D6E"/>
    <w:rsid w:val="000C46E9"/>
    <w:rsid w:val="00420C73"/>
    <w:rsid w:val="00494A9D"/>
    <w:rsid w:val="006D7E0C"/>
    <w:rsid w:val="00746A9A"/>
    <w:rsid w:val="00D57BF4"/>
    <w:rsid w:val="00DB5DF7"/>
    <w:rsid w:val="00F5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CFF04"/>
  <w15:chartTrackingRefBased/>
  <w15:docId w15:val="{539E62EE-AA8B-4BE2-B1C9-108AA917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C7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C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Brantley</dc:creator>
  <cp:keywords/>
  <dc:description/>
  <cp:lastModifiedBy>Bobby Brantley</cp:lastModifiedBy>
  <cp:revision>1</cp:revision>
  <dcterms:created xsi:type="dcterms:W3CDTF">2025-02-01T07:20:00Z</dcterms:created>
  <dcterms:modified xsi:type="dcterms:W3CDTF">2025-02-01T07:29:00Z</dcterms:modified>
</cp:coreProperties>
</file>